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证券代码：000655         证券简称：金岭矿业        公告编号：202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-</w:t>
      </w:r>
      <w:r>
        <w:rPr>
          <w:rFonts w:hint="eastAsia"/>
          <w:b/>
          <w:sz w:val="24"/>
          <w:lang w:val="en-US" w:eastAsia="zh-CN"/>
        </w:rPr>
        <w:t>068</w:t>
      </w:r>
    </w:p>
    <w:p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hint="eastAsia" w:ascii="黑体" w:eastAsia="黑体"/>
          <w:b/>
          <w:color w:val="FF0000"/>
          <w:sz w:val="32"/>
          <w:szCs w:val="32"/>
        </w:rPr>
        <w:t>山东金岭矿业股份有限公司</w:t>
      </w:r>
    </w:p>
    <w:p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hint="eastAsia" w:ascii="黑体" w:eastAsia="黑体"/>
          <w:b/>
          <w:color w:val="FF0000"/>
          <w:sz w:val="32"/>
          <w:szCs w:val="32"/>
        </w:rPr>
        <w:t>202</w:t>
      </w:r>
      <w:r>
        <w:rPr>
          <w:rFonts w:hint="eastAsia" w:ascii="黑体" w:eastAsia="黑体"/>
          <w:b/>
          <w:color w:val="FF000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color w:val="FF0000"/>
          <w:sz w:val="32"/>
          <w:szCs w:val="32"/>
        </w:rPr>
        <w:t>年</w:t>
      </w:r>
      <w:bookmarkStart w:id="0" w:name="_GoBack"/>
      <w:bookmarkEnd w:id="0"/>
      <w:r>
        <w:rPr>
          <w:rFonts w:hint="eastAsia" w:ascii="黑体" w:eastAsia="黑体"/>
          <w:b/>
          <w:color w:val="FF0000"/>
          <w:sz w:val="32"/>
          <w:szCs w:val="32"/>
        </w:rPr>
        <w:t>前三季度业绩预告</w:t>
      </w:r>
    </w:p>
    <w:p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</w:p>
    <w:p>
      <w:pPr>
        <w:widowControl/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19"/>
        </w:pBdr>
        <w:spacing w:line="360" w:lineRule="auto"/>
        <w:ind w:firstLine="482" w:firstLineChars="200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本公司及董事会全体成员保证信息披露的内容真实、准确、完整，没有虚假记载、误导性陈述或重大遗漏。</w:t>
      </w:r>
    </w:p>
    <w:p>
      <w:pPr>
        <w:tabs>
          <w:tab w:val="left" w:pos="3240"/>
        </w:tabs>
        <w:spacing w:line="360" w:lineRule="auto"/>
        <w:ind w:firstLine="602" w:firstLineChars="250"/>
        <w:jc w:val="left"/>
        <w:rPr>
          <w:b/>
          <w:sz w:val="24"/>
        </w:rPr>
      </w:pPr>
    </w:p>
    <w:p>
      <w:pPr>
        <w:tabs>
          <w:tab w:val="left" w:pos="3240"/>
        </w:tabs>
        <w:spacing w:line="360" w:lineRule="auto"/>
        <w:ind w:firstLine="472" w:firstLineChars="196"/>
        <w:jc w:val="left"/>
        <w:rPr>
          <w:b/>
          <w:sz w:val="24"/>
        </w:rPr>
      </w:pPr>
      <w:r>
        <w:rPr>
          <w:rFonts w:hint="eastAsia"/>
          <w:b/>
          <w:sz w:val="24"/>
        </w:rPr>
        <w:t>一、本期业绩预计情况</w:t>
      </w:r>
    </w:p>
    <w:p>
      <w:pPr>
        <w:tabs>
          <w:tab w:val="left" w:pos="3240"/>
        </w:tabs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1.业绩预告期间：202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月1日至202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年9月30日</w:t>
      </w:r>
    </w:p>
    <w:p>
      <w:pPr>
        <w:tabs>
          <w:tab w:val="left" w:pos="3240"/>
        </w:tabs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2.预计的业绩：</w:t>
      </w:r>
      <w:r>
        <w:rPr>
          <w:rFonts w:hint="eastAsia"/>
          <w:sz w:val="24"/>
        </w:rPr>
        <w:sym w:font="Wingdings" w:char="00A8"/>
      </w:r>
      <w:r>
        <w:rPr>
          <w:rFonts w:hint="eastAsia"/>
          <w:sz w:val="24"/>
        </w:rPr>
        <w:t xml:space="preserve">亏损  </w:t>
      </w:r>
      <w:r>
        <w:rPr>
          <w:rFonts w:hint="eastAsia"/>
          <w:sz w:val="24"/>
        </w:rPr>
        <w:sym w:font="Wingdings" w:char="00A8"/>
      </w:r>
      <w:r>
        <w:rPr>
          <w:rFonts w:hint="eastAsia"/>
          <w:sz w:val="24"/>
        </w:rPr>
        <w:t xml:space="preserve">扭亏为盈  </w:t>
      </w:r>
      <w:r>
        <w:rPr>
          <w:rFonts w:hint="eastAsia"/>
          <w:sz w:val="24"/>
        </w:rPr>
        <w:sym w:font="Wingdings" w:char="00FE"/>
      </w:r>
      <w:r>
        <w:rPr>
          <w:rFonts w:hint="eastAsia"/>
          <w:sz w:val="24"/>
        </w:rPr>
        <w:t xml:space="preserve">同向上升  </w:t>
      </w:r>
      <w:r>
        <w:rPr>
          <w:rFonts w:hint="eastAsia"/>
          <w:sz w:val="24"/>
        </w:rPr>
        <w:sym w:font="Wingdings" w:char="00A8"/>
      </w:r>
      <w:r>
        <w:rPr>
          <w:rFonts w:hint="eastAsia"/>
          <w:sz w:val="24"/>
        </w:rPr>
        <w:t>同向下降</w:t>
      </w:r>
    </w:p>
    <w:tbl>
      <w:tblPr>
        <w:tblStyle w:val="5"/>
        <w:tblW w:w="10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977"/>
        <w:gridCol w:w="2977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项  目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ind w:firstLine="450" w:firstLineChars="2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本报告期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ind w:firstLine="450" w:firstLineChars="2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上年同期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7月1日-9月30日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1月1日-9月30日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7月1日-9月30日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1月1日-9月30日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归属于上市公司股东的净利润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10,000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-13,000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36,000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-39,000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8,199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万元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20,747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比上年同期增长：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21.97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-58.56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比上年同期增长：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73.52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-87.98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归属于上市公司股东的扣除非经常性损益后的净利润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9,700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-12,700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35,700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-38,700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8,189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万元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20,515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比上年同期增长：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18.45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-55.09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比上年同期增长：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74.02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-88.64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基本每股收益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盈利：0.1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68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元/股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218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元/股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盈利：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0.605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元/股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  <w:t>-0.655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元/股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盈利：0.1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/股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盈利：0.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348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</w:rPr>
              <w:t>/股</w:t>
            </w:r>
          </w:p>
        </w:tc>
      </w:tr>
    </w:tbl>
    <w:p>
      <w:pPr>
        <w:tabs>
          <w:tab w:val="left" w:pos="3240"/>
        </w:tabs>
        <w:spacing w:line="360" w:lineRule="auto"/>
        <w:ind w:firstLine="472" w:firstLineChars="196"/>
        <w:jc w:val="left"/>
        <w:rPr>
          <w:b/>
          <w:sz w:val="24"/>
        </w:rPr>
      </w:pPr>
      <w:r>
        <w:rPr>
          <w:rFonts w:hint="eastAsia"/>
          <w:b/>
          <w:sz w:val="24"/>
        </w:rPr>
        <w:t>二、业绩预告预审计情况</w:t>
      </w:r>
    </w:p>
    <w:p>
      <w:pPr>
        <w:tabs>
          <w:tab w:val="left" w:pos="3240"/>
        </w:tabs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年前三季度业绩预告的相关财务数据未经过注册会计师审计。</w:t>
      </w:r>
    </w:p>
    <w:p>
      <w:pPr>
        <w:tabs>
          <w:tab w:val="left" w:pos="3240"/>
        </w:tabs>
        <w:spacing w:line="360" w:lineRule="auto"/>
        <w:ind w:firstLine="472" w:firstLineChars="196"/>
        <w:jc w:val="left"/>
        <w:rPr>
          <w:b/>
          <w:sz w:val="24"/>
        </w:rPr>
      </w:pPr>
      <w:r>
        <w:rPr>
          <w:rFonts w:hint="eastAsia"/>
          <w:b/>
          <w:sz w:val="24"/>
        </w:rPr>
        <w:t>三、业绩变动原因说明</w:t>
      </w:r>
    </w:p>
    <w:p>
      <w:pPr>
        <w:pStyle w:val="2"/>
        <w:snapToGrid w:val="0"/>
        <w:spacing w:after="0" w:line="360" w:lineRule="auto"/>
        <w:ind w:left="0" w:leftChars="0" w:firstLine="480" w:firstLineChars="200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202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highlight w:val="none"/>
        </w:rPr>
        <w:t>年前三季度公司业绩实现同向上升的主要原因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highlight w:val="none"/>
        </w:rPr>
        <w:t>一是母公司主要产品销售价格较上年同期上升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</w:t>
      </w:r>
      <w:r>
        <w:rPr>
          <w:rFonts w:ascii="宋体" w:hAnsi="宋体" w:eastAsia="宋体" w:cs="宋体"/>
          <w:sz w:val="24"/>
          <w:szCs w:val="24"/>
          <w:highlight w:val="none"/>
        </w:rPr>
        <w:t>二是子公司喀什球团主要产品销售价格及销量较上年同期上升；三是公司投资收益较上年同期增加。</w:t>
      </w:r>
    </w:p>
    <w:p>
      <w:pPr>
        <w:pStyle w:val="2"/>
        <w:snapToGrid w:val="0"/>
        <w:spacing w:after="0" w:line="360" w:lineRule="auto"/>
        <w:ind w:left="0" w:leftChars="0" w:firstLine="472" w:firstLineChars="196"/>
        <w:jc w:val="left"/>
        <w:rPr>
          <w:b/>
          <w:sz w:val="24"/>
        </w:rPr>
      </w:pPr>
      <w:r>
        <w:rPr>
          <w:rFonts w:hint="eastAsia"/>
          <w:b/>
          <w:sz w:val="24"/>
        </w:rPr>
        <w:t>四、其他相关说明</w:t>
      </w:r>
    </w:p>
    <w:p>
      <w:pPr>
        <w:tabs>
          <w:tab w:val="left" w:pos="3240"/>
        </w:tabs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 xml:space="preserve">1．本次业绩预告是公司财务部门初步测算的结果，未经审计机构审计。 </w:t>
      </w:r>
    </w:p>
    <w:p>
      <w:pPr>
        <w:tabs>
          <w:tab w:val="left" w:pos="3240"/>
        </w:tabs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2．20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年前三季度业绩具体的财务数据将在20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年第三季度报告中详</w:t>
      </w:r>
      <w:r>
        <w:rPr>
          <w:rFonts w:hint="eastAsia"/>
          <w:sz w:val="24"/>
        </w:rPr>
        <w:t>细披露，敬请广大投资者注意投资风险。</w:t>
      </w:r>
    </w:p>
    <w:p>
      <w:pPr>
        <w:tabs>
          <w:tab w:val="left" w:pos="3240"/>
        </w:tabs>
        <w:spacing w:line="360" w:lineRule="auto"/>
        <w:ind w:firstLine="480" w:firstLineChars="200"/>
        <w:jc w:val="left"/>
        <w:rPr>
          <w:sz w:val="24"/>
        </w:rPr>
      </w:pPr>
    </w:p>
    <w:p>
      <w:pPr>
        <w:pStyle w:val="2"/>
        <w:snapToGrid w:val="0"/>
        <w:spacing w:after="0" w:line="360" w:lineRule="auto"/>
        <w:ind w:left="0" w:leftChars="0" w:firstLine="540" w:firstLineChars="225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特此公告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pStyle w:val="2"/>
        <w:snapToGrid w:val="0"/>
        <w:spacing w:after="0" w:line="360" w:lineRule="auto"/>
        <w:ind w:left="560" w:firstLine="4680" w:firstLineChars="19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山东金岭矿业股份有限公司</w:t>
      </w:r>
    </w:p>
    <w:p>
      <w:pPr>
        <w:pStyle w:val="2"/>
        <w:snapToGrid w:val="0"/>
        <w:spacing w:after="0" w:line="360" w:lineRule="auto"/>
        <w:ind w:left="560" w:firstLine="5760" w:firstLineChars="2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董事会</w:t>
      </w:r>
    </w:p>
    <w:p>
      <w:pPr>
        <w:pStyle w:val="2"/>
        <w:snapToGrid w:val="0"/>
        <w:spacing w:after="0" w:line="360" w:lineRule="auto"/>
        <w:ind w:left="5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年10月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-48895</wp:posOffset>
          </wp:positionV>
          <wp:extent cx="1600200" cy="219075"/>
          <wp:effectExtent l="0" t="0" r="0" b="9525"/>
          <wp:wrapTight wrapText="bothSides">
            <wp:wrapPolygon>
              <wp:start x="0" y="0"/>
              <wp:lineTo x="0" y="20661"/>
              <wp:lineTo x="21343" y="20661"/>
              <wp:lineTo x="21343" y="0"/>
              <wp:lineTo x="0" y="0"/>
            </wp:wrapPolygon>
          </wp:wrapTight>
          <wp:docPr id="2" name="图片 1" descr="公司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公司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董事会公告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811"/>
    <w:rsid w:val="00013B38"/>
    <w:rsid w:val="000236DF"/>
    <w:rsid w:val="00042D60"/>
    <w:rsid w:val="00051634"/>
    <w:rsid w:val="0005626C"/>
    <w:rsid w:val="00062072"/>
    <w:rsid w:val="00094137"/>
    <w:rsid w:val="000B37ED"/>
    <w:rsid w:val="00107B0B"/>
    <w:rsid w:val="00112FA0"/>
    <w:rsid w:val="00131C41"/>
    <w:rsid w:val="00165856"/>
    <w:rsid w:val="00174C95"/>
    <w:rsid w:val="00184EA2"/>
    <w:rsid w:val="00185B4D"/>
    <w:rsid w:val="00192E19"/>
    <w:rsid w:val="001A5076"/>
    <w:rsid w:val="001D3811"/>
    <w:rsid w:val="001D4F33"/>
    <w:rsid w:val="002407F2"/>
    <w:rsid w:val="00250FD1"/>
    <w:rsid w:val="002A4C84"/>
    <w:rsid w:val="002C0119"/>
    <w:rsid w:val="002C5450"/>
    <w:rsid w:val="00301690"/>
    <w:rsid w:val="0030290E"/>
    <w:rsid w:val="00357C3E"/>
    <w:rsid w:val="00395E4D"/>
    <w:rsid w:val="003B48CC"/>
    <w:rsid w:val="003E0131"/>
    <w:rsid w:val="0040310A"/>
    <w:rsid w:val="00407978"/>
    <w:rsid w:val="00452687"/>
    <w:rsid w:val="004635B8"/>
    <w:rsid w:val="0047451D"/>
    <w:rsid w:val="004A768C"/>
    <w:rsid w:val="004D0965"/>
    <w:rsid w:val="005640AC"/>
    <w:rsid w:val="005D261B"/>
    <w:rsid w:val="005D78CB"/>
    <w:rsid w:val="005E1AF3"/>
    <w:rsid w:val="005E20F1"/>
    <w:rsid w:val="006256C4"/>
    <w:rsid w:val="00626BF5"/>
    <w:rsid w:val="00645D7B"/>
    <w:rsid w:val="00647D23"/>
    <w:rsid w:val="00667608"/>
    <w:rsid w:val="00672DB9"/>
    <w:rsid w:val="006825AF"/>
    <w:rsid w:val="006B36D8"/>
    <w:rsid w:val="006D22F2"/>
    <w:rsid w:val="006E257E"/>
    <w:rsid w:val="0071284B"/>
    <w:rsid w:val="00720889"/>
    <w:rsid w:val="0078420C"/>
    <w:rsid w:val="007A6DC4"/>
    <w:rsid w:val="007B1735"/>
    <w:rsid w:val="007D4525"/>
    <w:rsid w:val="007F62C1"/>
    <w:rsid w:val="00894C87"/>
    <w:rsid w:val="008A1EC5"/>
    <w:rsid w:val="008E0B56"/>
    <w:rsid w:val="008E2F5B"/>
    <w:rsid w:val="008E3585"/>
    <w:rsid w:val="009105C6"/>
    <w:rsid w:val="00911816"/>
    <w:rsid w:val="00911F84"/>
    <w:rsid w:val="00913C31"/>
    <w:rsid w:val="00915C30"/>
    <w:rsid w:val="00972431"/>
    <w:rsid w:val="00975F73"/>
    <w:rsid w:val="009B055E"/>
    <w:rsid w:val="009C42B1"/>
    <w:rsid w:val="009E5EF3"/>
    <w:rsid w:val="009F2CED"/>
    <w:rsid w:val="00A57B74"/>
    <w:rsid w:val="00A73333"/>
    <w:rsid w:val="00B0059D"/>
    <w:rsid w:val="00B21166"/>
    <w:rsid w:val="00B37B77"/>
    <w:rsid w:val="00B55386"/>
    <w:rsid w:val="00B75825"/>
    <w:rsid w:val="00BA0999"/>
    <w:rsid w:val="00BB05FA"/>
    <w:rsid w:val="00BB0FF1"/>
    <w:rsid w:val="00BC726E"/>
    <w:rsid w:val="00BE6939"/>
    <w:rsid w:val="00C12658"/>
    <w:rsid w:val="00C12DF2"/>
    <w:rsid w:val="00C26F04"/>
    <w:rsid w:val="00C30770"/>
    <w:rsid w:val="00C40535"/>
    <w:rsid w:val="00C44D2A"/>
    <w:rsid w:val="00C50280"/>
    <w:rsid w:val="00C82E5F"/>
    <w:rsid w:val="00CB0644"/>
    <w:rsid w:val="00CB72DD"/>
    <w:rsid w:val="00CD45F1"/>
    <w:rsid w:val="00CF0DAC"/>
    <w:rsid w:val="00D23663"/>
    <w:rsid w:val="00D23F65"/>
    <w:rsid w:val="00D40E6F"/>
    <w:rsid w:val="00D51458"/>
    <w:rsid w:val="00D749C6"/>
    <w:rsid w:val="00D76DC9"/>
    <w:rsid w:val="00D86636"/>
    <w:rsid w:val="00D971F7"/>
    <w:rsid w:val="00DA301D"/>
    <w:rsid w:val="00E751C7"/>
    <w:rsid w:val="00ED6EB7"/>
    <w:rsid w:val="00F47C77"/>
    <w:rsid w:val="00F7200E"/>
    <w:rsid w:val="00FB2F24"/>
    <w:rsid w:val="00FE1A74"/>
    <w:rsid w:val="00FE7B60"/>
    <w:rsid w:val="00FF3D6F"/>
    <w:rsid w:val="025C10FC"/>
    <w:rsid w:val="058B7081"/>
    <w:rsid w:val="05F27C5E"/>
    <w:rsid w:val="06EA2F9C"/>
    <w:rsid w:val="06ED6F2E"/>
    <w:rsid w:val="09F14D57"/>
    <w:rsid w:val="0BC234C7"/>
    <w:rsid w:val="0E6923FD"/>
    <w:rsid w:val="12F2746A"/>
    <w:rsid w:val="18E45BD5"/>
    <w:rsid w:val="191022E1"/>
    <w:rsid w:val="1DF96F5E"/>
    <w:rsid w:val="1FB6489B"/>
    <w:rsid w:val="20556650"/>
    <w:rsid w:val="20EA3ADF"/>
    <w:rsid w:val="231244BB"/>
    <w:rsid w:val="27880030"/>
    <w:rsid w:val="34F73CB8"/>
    <w:rsid w:val="37773ACF"/>
    <w:rsid w:val="38B10860"/>
    <w:rsid w:val="3B3B157F"/>
    <w:rsid w:val="41056A24"/>
    <w:rsid w:val="47E92837"/>
    <w:rsid w:val="494370D3"/>
    <w:rsid w:val="49667234"/>
    <w:rsid w:val="4B7D5ABD"/>
    <w:rsid w:val="4CDA3B9D"/>
    <w:rsid w:val="4FD720A6"/>
    <w:rsid w:val="55FB17C3"/>
    <w:rsid w:val="57F55D55"/>
    <w:rsid w:val="59C15652"/>
    <w:rsid w:val="59C9606D"/>
    <w:rsid w:val="5C007794"/>
    <w:rsid w:val="5D002063"/>
    <w:rsid w:val="61857A1C"/>
    <w:rsid w:val="65F75230"/>
    <w:rsid w:val="6C04018E"/>
    <w:rsid w:val="6C235C6B"/>
    <w:rsid w:val="6FE0403F"/>
    <w:rsid w:val="705A0905"/>
    <w:rsid w:val="70F50651"/>
    <w:rsid w:val="723A4BAB"/>
    <w:rsid w:val="735E6A68"/>
    <w:rsid w:val="75014D70"/>
    <w:rsid w:val="773B5D18"/>
    <w:rsid w:val="78160259"/>
    <w:rsid w:val="7BAD1851"/>
    <w:rsid w:val="7BBA6F3C"/>
    <w:rsid w:val="7E28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after="120"/>
      <w:ind w:left="420" w:leftChars="200"/>
    </w:pPr>
    <w:rPr>
      <w:rFonts w:ascii="Times New Roman" w:hAnsi="Times New Roman"/>
      <w:sz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link w:val="4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642</Characters>
  <Lines>5</Lines>
  <Paragraphs>1</Paragraphs>
  <TotalTime>27</TotalTime>
  <ScaleCrop>false</ScaleCrop>
  <LinksUpToDate>false</LinksUpToDate>
  <CharactersWithSpaces>753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2019-10-08T00:28:00Z</dcterms:created>
  <dc:creator>admin</dc:creator>
  <cp:lastModifiedBy>czx</cp:lastModifiedBy>
  <cp:lastPrinted>2021-10-11T01:15:00Z</cp:lastPrinted>
  <dcterms:modified xsi:type="dcterms:W3CDTF">2021-10-11T08:20:07Z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